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1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1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1"/>
        <w:numPr>
          <w:ilvl w:val="1"/>
          <w:numId w:val="1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is a reference to (as it has effect from time to time):</w:t>
      </w:r>
    </w:p>
    <w:p w:rsidR="00000000" w:rsidDel="00000000" w:rsidP="00000000" w:rsidRDefault="00000000" w:rsidRPr="00000000" w14:paraId="00000012">
      <w:pPr>
        <w:numPr>
          <w:ilvl w:val="3"/>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1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93"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keepNext w:val="1"/>
        <w:numPr>
          <w:ilvl w:val="1"/>
          <w:numId w:val="14"/>
        </w:numPr>
        <w:pBdr>
          <w:top w:space="0" w:sz="0" w:val="nil"/>
          <w:left w:space="0" w:sz="0" w:val="nil"/>
          <w:bottom w:space="0" w:sz="0" w:val="nil"/>
          <w:right w:space="0" w:sz="0" w:val="nil"/>
          <w:between w:space="0" w:sz="0" w:val="nil"/>
        </w:pBdr>
        <w:tabs>
          <w:tab w:val="left" w:pos="1134"/>
        </w:tabs>
        <w:spacing w:after="120" w:before="120" w:line="240" w:lineRule="auto"/>
        <w:ind w:left="28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10035.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5"/>
        <w:gridCol w:w="7710"/>
        <w:tblGridChange w:id="0">
          <w:tblGrid>
            <w:gridCol w:w="2325"/>
            <w:gridCol w:w="7710"/>
          </w:tblGrid>
        </w:tblGridChange>
      </w:tblGrid>
      <w:t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8">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9">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A">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B">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applicable Law;</w:t>
            </w:r>
          </w:p>
          <w:p w:rsidR="00000000" w:rsidDel="00000000" w:rsidP="00000000" w:rsidRDefault="00000000" w:rsidRPr="00000000" w14:paraId="0000002C">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D">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E">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F">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0">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1">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2">
            <w:pPr>
              <w:numPr>
                <w:ilvl w:val="0"/>
                <w:numId w:val="24"/>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4">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501" w:hanging="33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internal and external auditors;</w:t>
            </w:r>
          </w:p>
          <w:p w:rsidR="00000000" w:rsidDel="00000000" w:rsidP="00000000" w:rsidRDefault="00000000" w:rsidRPr="00000000" w14:paraId="00000035">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statutory or regulatory auditors;</w:t>
            </w:r>
          </w:p>
          <w:p w:rsidR="00000000" w:rsidDel="00000000" w:rsidP="00000000" w:rsidRDefault="00000000" w:rsidRPr="00000000" w14:paraId="00000036">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7">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8">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Buyer to carry out audit or similar review functions; and</w:t>
            </w:r>
          </w:p>
          <w:p w:rsidR="00000000" w:rsidDel="00000000" w:rsidP="00000000" w:rsidRDefault="00000000" w:rsidRPr="00000000" w14:paraId="00000039">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trHeight w:val="601" w:hRule="atLeast"/>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c>
          <w:tcPr/>
          <w:p w:rsidR="00000000" w:rsidDel="00000000" w:rsidP="00000000" w:rsidRDefault="00000000" w:rsidRPr="00000000" w14:paraId="0000003C">
            <w:pPr>
              <w:pBdr>
                <w:top w:space="0" w:sz="0" w:val="nil"/>
                <w:left w:space="0" w:sz="0" w:val="nil"/>
                <w:bottom w:space="0" w:sz="0" w:val="nil"/>
                <w:right w:space="0" w:sz="0" w:val="nil"/>
                <w:between w:space="0" w:sz="0" w:val="nil"/>
              </w:pBdr>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c>
          <w:tcPr/>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4">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c>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standard terms and conditions for common goods and services which govern how Supplier must interact with CCS and Buyers under Framework Contracts and Call-Off Contracts;</w:t>
            </w:r>
          </w:p>
        </w:tc>
      </w:tr>
      <w:t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D">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E">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F">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0">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1">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2">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3">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4">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accommodation;</w:t>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IT equipment and tools reasonably necessary to provide the Deliverables (but not including items included within limb (b) below); and</w:t>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8">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9">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pos="-179"/>
                <w:tab w:val="left" w:pos="411"/>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B">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C">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D">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E">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F">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689" w:hanging="5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0">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1">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GDPR, the LED and any applicable national implementing Laws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576"/>
                <w:tab w:val="left" w:pos="144"/>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4">
            <w:pPr>
              <w:numPr>
                <w:ilvl w:val="0"/>
                <w:numId w:val="9"/>
              </w:numPr>
              <w:pBdr>
                <w:top w:space="0" w:sz="0" w:val="nil"/>
                <w:left w:space="0" w:sz="0" w:val="nil"/>
                <w:bottom w:space="0" w:sz="0" w:val="nil"/>
                <w:right w:space="0" w:sz="0" w:val="nil"/>
                <w:between w:space="0" w:sz="0" w:val="nil"/>
              </w:pBdr>
              <w:tabs>
                <w:tab w:val="left" w:pos="-576"/>
                <w:tab w:val="left" w:pos="144"/>
              </w:tabs>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5">
            <w:pPr>
              <w:numPr>
                <w:ilvl w:val="0"/>
                <w:numId w:val="9"/>
              </w:numPr>
              <w:pBdr>
                <w:top w:space="0" w:sz="0" w:val="nil"/>
                <w:left w:space="0" w:sz="0" w:val="nil"/>
                <w:bottom w:space="0" w:sz="0" w:val="nil"/>
                <w:right w:space="0" w:sz="0" w:val="nil"/>
                <w:between w:space="0" w:sz="0" w:val="nil"/>
              </w:pBdr>
              <w:tabs>
                <w:tab w:val="left" w:pos="-576"/>
                <w:tab w:val="left" w:pos="144"/>
              </w:tabs>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6">
            <w:pPr>
              <w:numPr>
                <w:ilvl w:val="0"/>
                <w:numId w:val="9"/>
              </w:numPr>
              <w:pBdr>
                <w:top w:space="0" w:sz="0" w:val="nil"/>
                <w:left w:space="0" w:sz="0" w:val="nil"/>
                <w:bottom w:space="0" w:sz="0" w:val="nil"/>
                <w:right w:space="0" w:sz="0" w:val="nil"/>
                <w:between w:space="0" w:sz="0" w:val="nil"/>
              </w:pBdr>
              <w:tabs>
                <w:tab w:val="left" w:pos="-576"/>
                <w:tab w:val="left" w:pos="144"/>
              </w:tabs>
              <w:spacing w:after="12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576"/>
                <w:tab w:val="left" w:pos="144"/>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576"/>
                <w:tab w:val="left" w:pos="144"/>
              </w:tabs>
              <w:spacing w:after="120" w:lineRule="auto"/>
              <w:ind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7">
            <w:pPr>
              <w:numPr>
                <w:ilvl w:val="0"/>
                <w:numId w:val="21"/>
              </w:numPr>
              <w:pBdr>
                <w:top w:space="0" w:sz="0" w:val="nil"/>
                <w:left w:space="0" w:sz="0" w:val="nil"/>
                <w:bottom w:space="0" w:sz="0" w:val="nil"/>
                <w:right w:space="0" w:sz="0" w:val="nil"/>
                <w:between w:space="0" w:sz="0" w:val="nil"/>
              </w:pBdr>
              <w:tabs>
                <w:tab w:val="left" w:pos="-576"/>
                <w:tab w:val="left" w:pos="144"/>
              </w:tabs>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8">
            <w:pPr>
              <w:numPr>
                <w:ilvl w:val="0"/>
                <w:numId w:val="21"/>
              </w:numPr>
              <w:pBdr>
                <w:top w:space="0" w:sz="0" w:val="nil"/>
                <w:left w:space="0" w:sz="0" w:val="nil"/>
                <w:bottom w:space="0" w:sz="0" w:val="nil"/>
                <w:right w:space="0" w:sz="0" w:val="nil"/>
                <w:between w:space="0" w:sz="0" w:val="nil"/>
              </w:pBdr>
              <w:tabs>
                <w:tab w:val="left" w:pos="-576"/>
                <w:tab w:val="left" w:pos="144"/>
              </w:tabs>
              <w:spacing w:after="12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sz w:val="26"/>
                <w:szCs w:val="26"/>
                <w:rtl w:val="0"/>
              </w:rPr>
              <w:t xml:space="preserve">a public sector purchaser that is:</w:t>
            </w:r>
            <w:r w:rsidDel="00000000" w:rsidR="00000000" w:rsidRPr="00000000">
              <w:rPr>
                <w:rtl w:val="0"/>
              </w:rPr>
            </w:r>
          </w:p>
          <w:p w:rsidR="00000000" w:rsidDel="00000000" w:rsidP="00000000" w:rsidRDefault="00000000" w:rsidRPr="00000000" w14:paraId="000000E9">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sz w:val="22"/>
                <w:szCs w:val="22"/>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EA">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sz w:val="22"/>
                <w:szCs w:val="22"/>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EC">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sz w:val="22"/>
                <w:szCs w:val="22"/>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numPr>
                <w:ilvl w:val="1"/>
                <w:numId w:val="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color w:val="000000"/>
                <w:sz w:val="26"/>
                <w:szCs w:val="26"/>
              </w:rPr>
            </w:pPr>
            <w:r w:rsidDel="00000000" w:rsidR="00000000" w:rsidRPr="00000000">
              <w:rPr>
                <w:rFonts w:ascii="Arial" w:cs="Arial" w:eastAsia="Arial" w:hAnsi="Arial"/>
                <w:color w:val="000000"/>
                <w:sz w:val="24"/>
                <w:szCs w:val="24"/>
                <w:rtl w:val="0"/>
              </w:rPr>
              <w:t xml:space="preserve">Directive 2009/81/EC of the European Parliament and Council;</w:t>
            </w: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Call-off Contract”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6"/>
                <w:szCs w:val="26"/>
              </w:rPr>
            </w:pPr>
            <w:r w:rsidDel="00000000" w:rsidR="00000000" w:rsidRPr="00000000">
              <w:rPr>
                <w:rtl w:val="0"/>
              </w:rPr>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tbl>
      <w:tblPr>
        <w:tblStyle w:val="Table3"/>
        <w:tblW w:w="9735.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30"/>
        <w:tblGridChange w:id="0">
          <w:tblGrid>
            <w:gridCol w:w="2405"/>
            <w:gridCol w:w="7330"/>
          </w:tblGrid>
        </w:tblGridChange>
      </w:tblGrid>
      <w:tr>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rsidR="00000000" w:rsidDel="00000000" w:rsidP="00000000" w:rsidRDefault="00000000" w:rsidRPr="00000000" w14:paraId="00000106">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7">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8">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a Central Government Body, local government or regulatory bodies;</w:t>
            </w:r>
          </w:p>
          <w:p w:rsidR="00000000" w:rsidDel="00000000" w:rsidP="00000000" w:rsidRDefault="00000000" w:rsidRPr="00000000" w14:paraId="00000109">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OJEU Notice;</w:t>
            </w:r>
          </w:p>
        </w:tc>
      </w:tr>
      <w:t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"GDPR"</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General Data Protection Regulation (Regulation (EU) 2016/679);</w:t>
            </w:r>
          </w:p>
        </w:tc>
      </w:tr>
      <w:t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6">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7">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taxation or duties of any sort affecting the Supplier) or which affects or relates to a Comparable Supply;</w:t>
            </w:r>
          </w:p>
        </w:tc>
      </w:tr>
      <w:t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2">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3">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E">
            <w:pPr>
              <w:numPr>
                <w:ilvl w:val="0"/>
                <w:numId w:val="1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F">
            <w:pPr>
              <w:numPr>
                <w:ilvl w:val="0"/>
                <w:numId w:val="1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0">
            <w:pPr>
              <w:numPr>
                <w:ilvl w:val="0"/>
                <w:numId w:val="1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1">
            <w:pPr>
              <w:numPr>
                <w:ilvl w:val="0"/>
                <w:numId w:val="1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2">
            <w:pPr>
              <w:numPr>
                <w:ilvl w:val="0"/>
                <w:numId w:val="11"/>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3">
            <w:pPr>
              <w:numPr>
                <w:ilvl w:val="0"/>
                <w:numId w:val="1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000000" w:rsidDel="00000000" w:rsidP="00000000" w:rsidRDefault="00000000" w:rsidRPr="00000000" w14:paraId="00000164">
            <w:pPr>
              <w:numPr>
                <w:ilvl w:val="0"/>
                <w:numId w:val="1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5">
            <w:pPr>
              <w:numPr>
                <w:ilvl w:val="0"/>
                <w:numId w:val="12"/>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trHeight w:val="357" w:hRule="atLeast"/>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trHeight w:val="426" w:hRule="atLeast"/>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6">
            <w:pPr>
              <w:numPr>
                <w:ilvl w:val="0"/>
                <w:numId w:val="1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7">
            <w:pPr>
              <w:numPr>
                <w:ilvl w:val="0"/>
                <w:numId w:val="13"/>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8">
            <w:pPr>
              <w:numPr>
                <w:ilvl w:val="0"/>
                <w:numId w:val="13"/>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“LED”</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Law Enforcement Directive (Directive (EU) 2016/680);</w:t>
            </w:r>
          </w:p>
        </w:tc>
      </w:tr>
      <w:t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C">
            <w:pPr>
              <w:numPr>
                <w:ilvl w:val="0"/>
                <w:numId w:val="16"/>
              </w:numPr>
              <w:pBdr>
                <w:top w:space="0" w:sz="0" w:val="nil"/>
                <w:left w:space="0" w:sz="0" w:val="nil"/>
                <w:bottom w:space="0" w:sz="0" w:val="nil"/>
                <w:right w:space="0" w:sz="0" w:val="nil"/>
                <w:between w:space="0" w:sz="0" w:val="nil"/>
              </w:pBdr>
              <w:tabs>
                <w:tab w:val="left" w:pos="-576"/>
                <w:tab w:val="left" w:pos="175"/>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D">
            <w:pPr>
              <w:numPr>
                <w:ilvl w:val="0"/>
                <w:numId w:val="16"/>
              </w:numPr>
              <w:pBdr>
                <w:top w:space="0" w:sz="0" w:val="nil"/>
                <w:left w:space="0" w:sz="0" w:val="nil"/>
                <w:bottom w:space="0" w:sz="0" w:val="nil"/>
                <w:right w:space="0" w:sz="0" w:val="nil"/>
                <w:between w:space="0" w:sz="0" w:val="nil"/>
              </w:pBdr>
              <w:tabs>
                <w:tab w:val="left" w:pos="-576"/>
                <w:tab w:val="left" w:pos="175"/>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w:t>
            </w:r>
          </w:p>
          <w:p w:rsidR="00000000" w:rsidDel="00000000" w:rsidP="00000000" w:rsidRDefault="00000000" w:rsidRPr="00000000" w14:paraId="0000018E">
            <w:pPr>
              <w:numPr>
                <w:ilvl w:val="0"/>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1">
            <w:pPr>
              <w:numPr>
                <w:ilvl w:val="0"/>
                <w:numId w:val="17"/>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576"/>
                <w:tab w:val="left" w:pos="144"/>
              </w:tabs>
              <w:spacing w:after="120" w:lineRule="auto"/>
              <w:ind w:left="70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 </w:t>
            </w: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576"/>
                <w:tab w:val="left" w:pos="144"/>
              </w:tabs>
              <w:spacing w:after="120" w:lineRule="auto"/>
              <w:ind w:left="708"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ii) </w:t>
            </w: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4">
            <w:pPr>
              <w:numPr>
                <w:ilvl w:val="0"/>
                <w:numId w:val="17"/>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trHeight w:val="5726" w:hRule="atLeast"/>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7">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8">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9">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A">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B">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C">
            <w:pPr>
              <w:numPr>
                <w:ilvl w:val="2"/>
                <w:numId w:val="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D">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Overheads; </w:t>
            </w:r>
          </w:p>
          <w:p w:rsidR="00000000" w:rsidDel="00000000" w:rsidP="00000000" w:rsidRDefault="00000000" w:rsidRPr="00000000" w14:paraId="000001AE">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AF">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Profit achieved over the Framework Contract Period and on an annual basis;</w:t>
            </w:r>
          </w:p>
          <w:p w:rsidR="00000000" w:rsidDel="00000000" w:rsidP="00000000" w:rsidRDefault="00000000" w:rsidRPr="00000000" w14:paraId="000001B0">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1">
            <w:pPr>
              <w:numPr>
                <w:ilvl w:val="0"/>
                <w:numId w:val="18"/>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2">
            <w:pPr>
              <w:numPr>
                <w:ilvl w:val="0"/>
                <w:numId w:val="18"/>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actual Costs profile for each Service Period;</w:t>
            </w:r>
          </w:p>
        </w:tc>
      </w:tr>
      <w:t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a Contract;</w:t>
            </w:r>
          </w:p>
        </w:tc>
      </w:tr>
      <w:t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A">
            <w:pPr>
              <w:numPr>
                <w:ilvl w:val="0"/>
                <w:numId w:val="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B">
            <w:pPr>
              <w:numPr>
                <w:ilvl w:val="2"/>
                <w:numId w:val="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C">
            <w:pPr>
              <w:numPr>
                <w:ilvl w:val="2"/>
                <w:numId w:val="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reward that person for improper performance of a </w:t>
            </w:r>
            <w:r w:rsidDel="00000000" w:rsidR="00000000" w:rsidRPr="00000000">
              <w:rPr>
                <w:rFonts w:ascii="Arial" w:cs="Arial" w:eastAsia="Arial" w:hAnsi="Arial"/>
                <w:sz w:val="24"/>
                <w:szCs w:val="24"/>
                <w:rtl w:val="0"/>
              </w:rPr>
              <w:t xml:space="preserve">relevant function or activity; </w:t>
            </w: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 committing any offence:</w:t>
              <w:tab/>
            </w:r>
            <w:r w:rsidDel="00000000" w:rsidR="00000000" w:rsidRPr="00000000">
              <w:rPr>
                <w:rtl w:val="0"/>
              </w:rPr>
            </w:r>
          </w:p>
          <w:p w:rsidR="00000000" w:rsidDel="00000000" w:rsidP="00000000" w:rsidRDefault="00000000" w:rsidRPr="00000000" w14:paraId="000001DF">
            <w:pPr>
              <w:numPr>
                <w:ilvl w:val="2"/>
                <w:numId w:val="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0">
            <w:pPr>
              <w:numPr>
                <w:ilvl w:val="2"/>
                <w:numId w:val="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1">
            <w:pPr>
              <w:numPr>
                <w:ilvl w:val="2"/>
                <w:numId w:val="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 </w:t>
            </w: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“RICS”</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Royal Institute of Chartered Surveyors </w:t>
            </w:r>
          </w:p>
        </w:tc>
      </w:tr>
      <w:t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C">
            <w:pPr>
              <w:numPr>
                <w:ilvl w:val="0"/>
                <w:numId w:val="10"/>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D">
            <w:pPr>
              <w:numPr>
                <w:ilvl w:val="0"/>
                <w:numId w:val="10"/>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E">
            <w:pPr>
              <w:numPr>
                <w:ilvl w:val="0"/>
                <w:numId w:val="10"/>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F">
            <w:pPr>
              <w:numPr>
                <w:ilvl w:val="0"/>
                <w:numId w:val="10"/>
              </w:numPr>
              <w:pBdr>
                <w:top w:space="0" w:sz="0" w:val="nil"/>
                <w:left w:space="0" w:sz="0" w:val="nil"/>
                <w:bottom w:space="0" w:sz="0" w:val="nil"/>
                <w:right w:space="0" w:sz="0" w:val="nil"/>
                <w:between w:space="0" w:sz="0" w:val="nil"/>
              </w:pBdr>
              <w:tabs>
                <w:tab w:val="left" w:pos="-179"/>
                <w:tab w:val="left" w:pos="-9"/>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r w:rsidDel="00000000" w:rsidR="00000000" w:rsidRPr="00000000">
              <w:rPr>
                <w:rtl w:val="0"/>
              </w:rPr>
            </w:r>
          </w:p>
          <w:p w:rsidR="00000000" w:rsidDel="00000000" w:rsidP="00000000" w:rsidRDefault="00000000" w:rsidRPr="00000000" w14:paraId="000001F6">
            <w:pPr>
              <w:numPr>
                <w:ilvl w:val="0"/>
                <w:numId w:val="19"/>
              </w:numPr>
              <w:pBdr>
                <w:top w:space="0" w:sz="0" w:val="nil"/>
                <w:left w:space="0" w:sz="0" w:val="nil"/>
                <w:bottom w:space="0" w:sz="0" w:val="nil"/>
                <w:right w:space="0" w:sz="0" w:val="nil"/>
                <w:between w:space="0" w:sz="0" w:val="nil"/>
              </w:pBdr>
              <w:tabs>
                <w:tab w:val="left" w:pos="-179"/>
                <w:tab w:val="left" w:pos="-9"/>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7">
            <w:pPr>
              <w:numPr>
                <w:ilvl w:val="0"/>
                <w:numId w:val="19"/>
              </w:numPr>
              <w:pBdr>
                <w:top w:space="0" w:sz="0" w:val="nil"/>
                <w:left w:space="0" w:sz="0" w:val="nil"/>
                <w:bottom w:space="0" w:sz="0" w:val="nil"/>
                <w:right w:space="0" w:sz="0" w:val="nil"/>
                <w:between w:space="0" w:sz="0" w:val="nil"/>
              </w:pBdr>
              <w:tabs>
                <w:tab w:val="left" w:pos="-179"/>
                <w:tab w:val="left" w:pos="-9"/>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B">
            <w:pPr>
              <w:numPr>
                <w:ilvl w:val="0"/>
                <w:numId w:val="1"/>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C">
            <w:pPr>
              <w:numPr>
                <w:ilvl w:val="0"/>
                <w:numId w:val="1"/>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 Date"</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4">
            <w:pPr>
              <w:numPr>
                <w:ilvl w:val="0"/>
                <w:numId w:val="20"/>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5">
            <w:pPr>
              <w:numPr>
                <w:ilvl w:val="0"/>
                <w:numId w:val="20"/>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trHeight w:val="945" w:hRule="atLeast"/>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0">
            <w:pPr>
              <w:numPr>
                <w:ilvl w:val="0"/>
                <w:numId w:val="6"/>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1">
            <w:pPr>
              <w:numPr>
                <w:ilvl w:val="0"/>
                <w:numId w:val="6"/>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2">
            <w:pPr>
              <w:numPr>
                <w:ilvl w:val="0"/>
                <w:numId w:val="6"/>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3">
            <w:pPr>
              <w:numPr>
                <w:ilvl w:val="0"/>
                <w:numId w:val="6"/>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C">
            <w:pPr>
              <w:numPr>
                <w:ilvl w:val="0"/>
                <w:numId w:val="4"/>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D">
            <w:pPr>
              <w:numPr>
                <w:ilvl w:val="0"/>
                <w:numId w:val="4"/>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E">
            <w:pPr>
              <w:numPr>
                <w:ilvl w:val="0"/>
                <w:numId w:val="4"/>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A">
            <w:pPr>
              <w:numPr>
                <w:ilvl w:val="0"/>
                <w:numId w:val="1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B">
            <w:pPr>
              <w:numPr>
                <w:ilvl w:val="0"/>
                <w:numId w:val="15"/>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C">
            <w:pPr>
              <w:numPr>
                <w:ilvl w:val="0"/>
                <w:numId w:val="15"/>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5">
            <w:pPr>
              <w:numPr>
                <w:ilvl w:val="0"/>
                <w:numId w:val="2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6">
            <w:pPr>
              <w:numPr>
                <w:ilvl w:val="0"/>
                <w:numId w:val="22"/>
              </w:numPr>
              <w:pBdr>
                <w:top w:space="0" w:sz="0" w:val="nil"/>
                <w:left w:space="0" w:sz="0" w:val="nil"/>
                <w:bottom w:space="0" w:sz="0" w:val="nil"/>
                <w:right w:space="0" w:sz="0" w:val="nil"/>
                <w:between w:space="0" w:sz="0" w:val="nil"/>
              </w:pBdr>
              <w:tabs>
                <w:tab w:val="left" w:pos="-576"/>
                <w:tab w:val="left"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7">
            <w:pPr>
              <w:numPr>
                <w:ilvl w:val="0"/>
                <w:numId w:val="22"/>
              </w:numPr>
              <w:pBdr>
                <w:top w:space="0" w:sz="0" w:val="nil"/>
                <w:left w:space="0" w:sz="0" w:val="nil"/>
                <w:bottom w:space="0" w:sz="0" w:val="nil"/>
                <w:right w:space="0" w:sz="0" w:val="nil"/>
                <w:between w:space="0" w:sz="0" w:val="nil"/>
              </w:pBdr>
              <w:tabs>
                <w:tab w:val="left" w:pos="-576"/>
                <w:tab w:val="left"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7">
            <w:pPr>
              <w:numPr>
                <w:ilvl w:val="0"/>
                <w:numId w:val="7"/>
              </w:numPr>
              <w:pBdr>
                <w:top w:space="0" w:sz="0" w:val="nil"/>
                <w:left w:space="0" w:sz="0" w:val="nil"/>
                <w:bottom w:space="0" w:sz="0" w:val="nil"/>
                <w:right w:space="0" w:sz="0" w:val="nil"/>
                <w:between w:space="0" w:sz="0" w:val="nil"/>
              </w:pBdr>
              <w:tabs>
                <w:tab w:val="left" w:pos="-576"/>
                <w:tab w:val="left" w:pos="141"/>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8">
            <w:pPr>
              <w:numPr>
                <w:ilvl w:val="0"/>
                <w:numId w:val="7"/>
              </w:numPr>
              <w:pBdr>
                <w:top w:space="0" w:sz="0" w:val="nil"/>
                <w:left w:space="0" w:sz="0" w:val="nil"/>
                <w:bottom w:space="0" w:sz="0" w:val="nil"/>
                <w:right w:space="0" w:sz="0" w:val="nil"/>
                <w:between w:space="0" w:sz="0" w:val="nil"/>
              </w:pBdr>
              <w:tabs>
                <w:tab w:val="left" w:pos="-576"/>
                <w:tab w:val="left" w:pos="141"/>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w:t>
            </w:r>
            <w:r w:rsidDel="00000000" w:rsidR="00000000" w:rsidRPr="00000000">
              <w:rPr>
                <w:rtl w:val="0"/>
              </w:rPr>
            </w:r>
          </w:p>
          <w:p w:rsidR="00000000" w:rsidDel="00000000" w:rsidP="00000000" w:rsidRDefault="00000000" w:rsidRPr="00000000" w14:paraId="00000272">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Commercially Sensitive Information;</w:t>
            </w:r>
          </w:p>
          <w:p w:rsidR="00000000" w:rsidDel="00000000" w:rsidP="00000000" w:rsidRDefault="00000000" w:rsidRPr="00000000" w14:paraId="00000273">
            <w:pPr>
              <w:keepNext w:val="1"/>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w:t>
            </w:r>
          </w:p>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b w:val="1"/>
                <w:color w:val="000000"/>
                <w:sz w:val="24"/>
                <w:szCs w:val="24"/>
                <w:highlight w:val="yellow"/>
              </w:rPr>
            </w:pPr>
            <w:hyperlink r:id="rId9">
              <w:r w:rsidDel="00000000" w:rsidR="00000000" w:rsidRPr="00000000">
                <w:rPr>
                  <w:rFonts w:ascii="Arial" w:cs="Arial" w:eastAsia="Arial" w:hAnsi="Arial"/>
                  <w:b w:val="1"/>
                  <w:color w:val="1a73e8"/>
                  <w:sz w:val="24"/>
                  <w:szCs w:val="24"/>
                  <w:shd w:fill="f8f9fa" w:val="clear"/>
                  <w:rtl w:val="0"/>
                </w:rPr>
                <w:t xml:space="preserve">https://www.gov.uk/government/publications/procurement-policy-note-0815-tax-arrangements-of-appointees</w:t>
              </w:r>
            </w:hyperlink>
            <w:r w:rsidDel="00000000" w:rsidR="00000000" w:rsidRPr="00000000">
              <w:rPr>
                <w:rtl w:val="0"/>
              </w:rPr>
            </w:r>
          </w:p>
        </w:tc>
      </w:tr>
      <w:t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8.0 Work Hours, whether or not such hours are worked consecutively and whether or not they are worked on the same day; and</w:t>
            </w:r>
          </w:p>
        </w:tc>
      </w:tr>
      <w:t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240" w:lineRule="auto"/>
        <w:ind w:left="-108" w:firstLine="0"/>
        <w:jc w:val="center"/>
        <w:rPr>
          <w:rFonts w:ascii="Arial" w:cs="Arial" w:eastAsia="Arial" w:hAnsi="Arial"/>
          <w:b w:val="1"/>
          <w:color w:val="000000"/>
          <w:sz w:val="24"/>
          <w:szCs w:val="24"/>
        </w:rPr>
      </w:pPr>
      <w:bookmarkStart w:colFirst="0" w:colLast="0" w:name="_heading=h.2et92p0" w:id="4"/>
      <w:bookmarkEnd w:id="4"/>
      <w:r w:rsidDel="00000000" w:rsidR="00000000" w:rsidRPr="00000000">
        <w:rPr>
          <w:rtl w:val="0"/>
        </w:rPr>
      </w:r>
    </w:p>
    <w:sectPr>
      <w:headerReference r:id="rId10" w:type="default"/>
      <w:headerReference r:id="rId11" w:type="firs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v3.8</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procurement-policy-note-0815-tax-arrangements-of-appointee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eUOvyfVjLakt/3HFfiFn4bcPNQ==">AMUW2mUli7uHaiubO1X3IpNT/jVmKokzTgb35H4iL6loGHTj6iQZdnQMsUmff5OsR/5Qu1ldgjKcVPnk90WpCzXtYe92tMJxQ6VJdavSq8YcxrUKayiFfO+ao73NbsIep50FJuV7+QxZYchVeiF7P1q1yWoEXdtAuOCsthfaPZElF2XlXUxJ3nUAf2Zxv3sXosGEIFUNBeEF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